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39D214F1" w:rsidR="00802AC7" w:rsidRPr="00271EA1"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r w:rsidR="00271EA1">
        <w:rPr>
          <w:rFonts w:ascii="Verdana" w:eastAsia="Verdana" w:hAnsi="Verdana"/>
          <w:b/>
          <w:color w:val="984806" w:themeColor="accent6" w:themeShade="80"/>
          <w:sz w:val="18"/>
          <w:szCs w:val="18"/>
        </w:rPr>
        <w:t xml:space="preserve">  </w:t>
      </w:r>
      <w:proofErr w:type="spellStart"/>
      <w:r w:rsidR="00271EA1" w:rsidRPr="00271EA1">
        <w:rPr>
          <w:rFonts w:asciiTheme="majorHAnsi" w:hAnsiTheme="majorHAnsi"/>
          <w:color w:val="000000" w:themeColor="text1"/>
          <w:sz w:val="14"/>
          <w:szCs w:val="18"/>
        </w:rPr>
        <w:t>cz</w:t>
      </w:r>
      <w:proofErr w:type="spellEnd"/>
      <w:r w:rsidR="00271EA1" w:rsidRPr="00271EA1">
        <w:rPr>
          <w:rFonts w:asciiTheme="majorHAnsi" w:hAnsiTheme="majorHAnsi"/>
          <w:color w:val="000000" w:themeColor="text1"/>
          <w:sz w:val="14"/>
          <w:szCs w:val="18"/>
        </w:rPr>
        <w:t xml:space="preserve"> 5</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85D877F"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w:t>
      </w:r>
      <w:r w:rsidR="003B4903" w:rsidRPr="0089020B">
        <w:rPr>
          <w:rFonts w:asciiTheme="minorHAnsi" w:hAnsiTheme="minorHAnsi" w:cstheme="minorHAnsi"/>
          <w:b/>
          <w:i/>
          <w:color w:val="FF0000"/>
          <w:sz w:val="20"/>
        </w:rPr>
        <w:t xml:space="preserve">Wykonanie dokumentacji projektowej  oraz wymianę istniejącej linii napowietrznej </w:t>
      </w:r>
      <w:proofErr w:type="spellStart"/>
      <w:r w:rsidR="003B4903" w:rsidRPr="0089020B">
        <w:rPr>
          <w:rFonts w:asciiTheme="minorHAnsi" w:hAnsiTheme="minorHAnsi" w:cstheme="minorHAnsi"/>
          <w:b/>
          <w:i/>
          <w:color w:val="FF0000"/>
          <w:sz w:val="20"/>
        </w:rPr>
        <w:t>nn</w:t>
      </w:r>
      <w:proofErr w:type="spellEnd"/>
      <w:r w:rsidR="003B4903" w:rsidRPr="0089020B">
        <w:rPr>
          <w:rFonts w:asciiTheme="minorHAnsi" w:hAnsiTheme="minorHAnsi" w:cstheme="minorHAnsi"/>
          <w:b/>
          <w:i/>
          <w:color w:val="FF0000"/>
          <w:sz w:val="20"/>
        </w:rPr>
        <w:t xml:space="preserve"> wraz przyłączami </w:t>
      </w:r>
      <w:proofErr w:type="spellStart"/>
      <w:r w:rsidR="003B4903" w:rsidRPr="0089020B">
        <w:rPr>
          <w:rFonts w:asciiTheme="minorHAnsi" w:hAnsiTheme="minorHAnsi" w:cstheme="minorHAnsi"/>
          <w:b/>
          <w:i/>
          <w:color w:val="FF0000"/>
          <w:sz w:val="20"/>
        </w:rPr>
        <w:t>nn</w:t>
      </w:r>
      <w:proofErr w:type="spellEnd"/>
      <w:r w:rsidR="003B4903" w:rsidRPr="0089020B">
        <w:rPr>
          <w:rFonts w:asciiTheme="minorHAnsi" w:hAnsiTheme="minorHAnsi" w:cstheme="minorHAnsi"/>
          <w:b/>
          <w:i/>
          <w:color w:val="FF0000"/>
          <w:sz w:val="20"/>
        </w:rPr>
        <w:t xml:space="preserve"> na terenie Rejonu Energetycznego</w:t>
      </w:r>
      <w:r w:rsidR="003B4903">
        <w:rPr>
          <w:rFonts w:asciiTheme="minorHAnsi" w:hAnsiTheme="minorHAnsi" w:cstheme="minorHAnsi"/>
          <w:b/>
          <w:i/>
          <w:color w:val="FF0000"/>
          <w:sz w:val="20"/>
        </w:rPr>
        <w:t xml:space="preserve"> Łowicz</w:t>
      </w:r>
      <w:r w:rsidR="003B4903" w:rsidRPr="0089020B">
        <w:rPr>
          <w:rFonts w:asciiTheme="minorHAnsi" w:hAnsiTheme="minorHAnsi" w:cstheme="minorHAnsi"/>
          <w:b/>
          <w:i/>
          <w:color w:val="FF0000"/>
          <w:sz w:val="20"/>
        </w:rPr>
        <w:t>/gmin</w:t>
      </w:r>
      <w:r w:rsidR="003B4903">
        <w:rPr>
          <w:rFonts w:asciiTheme="minorHAnsi" w:hAnsiTheme="minorHAnsi" w:cstheme="minorHAnsi"/>
          <w:b/>
          <w:i/>
          <w:color w:val="FF0000"/>
          <w:sz w:val="20"/>
        </w:rPr>
        <w:t xml:space="preserve">a </w:t>
      </w:r>
      <w:proofErr w:type="spellStart"/>
      <w:r w:rsidR="003B4903">
        <w:rPr>
          <w:rFonts w:asciiTheme="minorHAnsi" w:hAnsiTheme="minorHAnsi" w:cstheme="minorHAnsi"/>
          <w:b/>
          <w:i/>
          <w:color w:val="FF0000"/>
          <w:sz w:val="20"/>
        </w:rPr>
        <w:t>Tersin</w:t>
      </w:r>
      <w:proofErr w:type="spellEnd"/>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3688F132" w:rsidR="002507AB" w:rsidRPr="003B4903" w:rsidRDefault="003B4903" w:rsidP="003B4903">
      <w:pPr>
        <w:pStyle w:val="Akapitzlist"/>
        <w:spacing w:before="120" w:line="276" w:lineRule="auto"/>
        <w:ind w:left="2410" w:hanging="2410"/>
        <w:outlineLvl w:val="0"/>
        <w:rPr>
          <w:rFonts w:asciiTheme="minorHAnsi" w:hAnsiTheme="minorHAnsi" w:cstheme="minorHAnsi"/>
          <w:b/>
          <w:i/>
          <w:color w:val="FF0000"/>
          <w:sz w:val="20"/>
        </w:rPr>
      </w:pPr>
      <w:r w:rsidRPr="003B4903">
        <w:rPr>
          <w:rFonts w:asciiTheme="minorHAnsi" w:hAnsiTheme="minorHAnsi" w:cstheme="minorHAnsi"/>
          <w:b/>
          <w:i/>
          <w:color w:val="FF0000"/>
          <w:sz w:val="20"/>
        </w:rPr>
        <w:t xml:space="preserve">„44-0695 Seroki Parcel 3 - wymiana przewodów </w:t>
      </w:r>
      <w:proofErr w:type="spellStart"/>
      <w:r w:rsidRPr="003B4903">
        <w:rPr>
          <w:rFonts w:asciiTheme="minorHAnsi" w:hAnsiTheme="minorHAnsi" w:cstheme="minorHAnsi"/>
          <w:b/>
          <w:i/>
          <w:color w:val="FF0000"/>
          <w:sz w:val="20"/>
        </w:rPr>
        <w:t>nN</w:t>
      </w:r>
      <w:proofErr w:type="spellEnd"/>
      <w:r w:rsidRPr="003B4903">
        <w:rPr>
          <w:rFonts w:asciiTheme="minorHAnsi" w:hAnsiTheme="minorHAnsi" w:cstheme="minorHAnsi"/>
          <w:b/>
          <w:i/>
          <w:color w:val="FF0000"/>
          <w:sz w:val="20"/>
        </w:rPr>
        <w:t xml:space="preserve">” - wymiana istniejącej linii napowietrznej </w:t>
      </w:r>
      <w:proofErr w:type="spellStart"/>
      <w:r w:rsidRPr="003B4903">
        <w:rPr>
          <w:rFonts w:asciiTheme="minorHAnsi" w:hAnsiTheme="minorHAnsi" w:cstheme="minorHAnsi"/>
          <w:b/>
          <w:i/>
          <w:color w:val="FF0000"/>
          <w:sz w:val="20"/>
        </w:rPr>
        <w:t>nn</w:t>
      </w:r>
      <w:proofErr w:type="spellEnd"/>
      <w:r w:rsidRPr="003B4903">
        <w:rPr>
          <w:rFonts w:asciiTheme="minorHAnsi" w:hAnsiTheme="minorHAnsi" w:cstheme="minorHAnsi"/>
          <w:b/>
          <w:i/>
          <w:color w:val="FF0000"/>
          <w:sz w:val="20"/>
        </w:rPr>
        <w:t xml:space="preserve"> wraz przyłączami </w:t>
      </w:r>
      <w:proofErr w:type="spellStart"/>
      <w:r w:rsidRPr="003B4903">
        <w:rPr>
          <w:rFonts w:asciiTheme="minorHAnsi" w:hAnsiTheme="minorHAnsi" w:cstheme="minorHAnsi"/>
          <w:b/>
          <w:i/>
          <w:color w:val="FF0000"/>
          <w:sz w:val="20"/>
        </w:rPr>
        <w:t>nn</w:t>
      </w:r>
      <w:proofErr w:type="spellEnd"/>
      <w:r w:rsidRPr="003B4903">
        <w:rPr>
          <w:rFonts w:asciiTheme="minorHAnsi" w:hAnsiTheme="minorHAnsi" w:cstheme="minorHAnsi"/>
          <w:b/>
          <w:i/>
          <w:color w:val="FF0000"/>
          <w:sz w:val="20"/>
        </w:rPr>
        <w:t xml:space="preserve"> ze stacji 15/0,4kV 44-0695 o łącznej długości L= 2,45 km + przyłącza 30 szt./750 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717B9A96" w14:textId="77777777" w:rsidR="00905384"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00905384">
        <w:rPr>
          <w:rFonts w:ascii="Verdana" w:hAnsi="Verdana"/>
          <w:color w:val="000000" w:themeColor="text1"/>
          <w:sz w:val="18"/>
          <w:szCs w:val="18"/>
        </w:rPr>
        <w:t>;</w:t>
      </w:r>
    </w:p>
    <w:p w14:paraId="0429BD27" w14:textId="043EC848" w:rsidR="00AB5CC4" w:rsidRPr="00802AC7" w:rsidRDefault="00905384" w:rsidP="00AB5CC4">
      <w:pPr>
        <w:pStyle w:val="Styl2"/>
        <w:keepNext/>
        <w:rPr>
          <w:rFonts w:ascii="Verdana" w:hAnsi="Verdana"/>
          <w:color w:val="000000" w:themeColor="text1"/>
          <w:sz w:val="18"/>
          <w:szCs w:val="18"/>
        </w:rPr>
      </w:pPr>
      <w:r>
        <w:rPr>
          <w:rFonts w:ascii="Verdana" w:hAnsi="Verdana"/>
          <w:color w:val="000000" w:themeColor="text1"/>
          <w:sz w:val="18"/>
          <w:szCs w:val="18"/>
          <w:lang w:val="pl-PL"/>
        </w:rPr>
        <w:t>u</w:t>
      </w:r>
      <w:r w:rsidRPr="00905384">
        <w:rPr>
          <w:rFonts w:ascii="Verdana" w:hAnsi="Verdana"/>
          <w:color w:val="000000" w:themeColor="text1"/>
          <w:sz w:val="18"/>
          <w:szCs w:val="18"/>
          <w:lang w:val="pl-PL"/>
        </w:rPr>
        <w:t xml:space="preserve">zgodnienie z gestorami sieci światłowodowych przebudowy sieci napowietrznej </w:t>
      </w:r>
      <w:proofErr w:type="spellStart"/>
      <w:r w:rsidRPr="00905384">
        <w:rPr>
          <w:rFonts w:ascii="Verdana" w:hAnsi="Verdana"/>
          <w:color w:val="000000" w:themeColor="text1"/>
          <w:sz w:val="18"/>
          <w:szCs w:val="18"/>
          <w:lang w:val="pl-PL"/>
        </w:rPr>
        <w:t>nN</w:t>
      </w:r>
      <w:r w:rsidR="00AB5CC4" w:rsidRPr="00802AC7">
        <w:rPr>
          <w:rFonts w:ascii="Verdana" w:hAnsi="Verdana"/>
          <w:color w:val="000000" w:themeColor="text1"/>
          <w:sz w:val="18"/>
          <w:szCs w:val="18"/>
          <w:lang w:val="pl-PL"/>
        </w:rPr>
        <w:t>.</w:t>
      </w:r>
      <w:proofErr w:type="spellEnd"/>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F3B7A1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w:t>
      </w:r>
      <w:r w:rsidR="003B4903">
        <w:rPr>
          <w:rFonts w:ascii="Verdana" w:hAnsi="Verdana" w:cstheme="minorHAnsi"/>
          <w:sz w:val="18"/>
          <w:szCs w:val="18"/>
          <w:lang w:val="x-none"/>
        </w:rPr>
        <w:t> </w:t>
      </w:r>
      <w:r w:rsidR="00181D92" w:rsidRPr="00802AC7">
        <w:rPr>
          <w:rFonts w:ascii="Verdana" w:hAnsi="Verdana" w:cstheme="minorHAnsi"/>
          <w:sz w:val="18"/>
          <w:szCs w:val="18"/>
          <w:lang w:val="x-none"/>
        </w:rPr>
        <w:t>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w:t>
      </w:r>
      <w:r w:rsidR="003B4903">
        <w:rPr>
          <w:rFonts w:ascii="Verdana" w:hAnsi="Verdana" w:cstheme="minorHAnsi"/>
          <w:sz w:val="18"/>
          <w:szCs w:val="18"/>
        </w:rPr>
        <w:t> </w:t>
      </w:r>
      <w:r w:rsidR="00AB5CC4" w:rsidRPr="00802AC7">
        <w:rPr>
          <w:rFonts w:ascii="Verdana" w:hAnsi="Verdana" w:cstheme="minorHAnsi"/>
          <w:sz w:val="18"/>
          <w:szCs w:val="18"/>
        </w:rPr>
        <w:t xml:space="preserve">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3B4903">
        <w:rPr>
          <w:rFonts w:ascii="Verdana" w:hAnsi="Verdana" w:cstheme="minorHAnsi"/>
          <w:b/>
          <w:bCs/>
          <w:color w:val="FF0000"/>
          <w:sz w:val="18"/>
          <w:szCs w:val="18"/>
        </w:rPr>
        <w:t>Łowicz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w:t>
      </w:r>
      <w:r w:rsidR="003B4903">
        <w:rPr>
          <w:rFonts w:ascii="Verdana" w:hAnsi="Verdana" w:cstheme="minorHAnsi"/>
          <w:sz w:val="18"/>
          <w:szCs w:val="18"/>
        </w:rPr>
        <w:t> </w:t>
      </w:r>
      <w:r w:rsidR="00181D92" w:rsidRPr="00802AC7">
        <w:rPr>
          <w:rFonts w:ascii="Verdana" w:hAnsi="Verdana" w:cstheme="minorHAnsi"/>
          <w:sz w:val="18"/>
          <w:szCs w:val="18"/>
        </w:rPr>
        <w:t>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407F2D63" w:rsidR="0089020B" w:rsidRPr="0089020B" w:rsidRDefault="003B4903" w:rsidP="003B4903">
      <w:pPr>
        <w:pStyle w:val="Akapitzlist"/>
        <w:spacing w:before="120" w:line="276" w:lineRule="auto"/>
        <w:ind w:left="0"/>
        <w:outlineLvl w:val="0"/>
        <w:rPr>
          <w:rFonts w:asciiTheme="minorHAnsi" w:hAnsiTheme="minorHAnsi" w:cstheme="minorHAnsi"/>
          <w:sz w:val="20"/>
        </w:rPr>
      </w:pPr>
      <w:r w:rsidRPr="003B4903">
        <w:rPr>
          <w:rFonts w:asciiTheme="minorHAnsi" w:hAnsiTheme="minorHAnsi" w:cstheme="minorHAnsi"/>
          <w:color w:val="FF0000"/>
          <w:sz w:val="20"/>
        </w:rPr>
        <w:t xml:space="preserve"> </w:t>
      </w:r>
      <w:r w:rsidR="00A62692">
        <w:rPr>
          <w:rFonts w:asciiTheme="minorHAnsi" w:hAnsiTheme="minorHAnsi" w:cstheme="minorHAnsi"/>
          <w:color w:val="FF0000"/>
          <w:sz w:val="20"/>
        </w:rPr>
        <w:t xml:space="preserve">31.08.2026 </w:t>
      </w:r>
      <w:r w:rsidRPr="003B4903">
        <w:rPr>
          <w:rFonts w:asciiTheme="minorHAnsi" w:hAnsiTheme="minorHAnsi" w:cstheme="minorHAnsi"/>
          <w:sz w:val="20"/>
        </w:rPr>
        <w:t>(prace projektowe)</w:t>
      </w:r>
      <w:r w:rsidRPr="003B4903">
        <w:rPr>
          <w:rFonts w:asciiTheme="minorHAnsi" w:hAnsiTheme="minorHAnsi" w:cstheme="minorHAnsi"/>
          <w:b/>
          <w:i/>
          <w:color w:val="FF0000"/>
          <w:sz w:val="20"/>
        </w:rPr>
        <w:t xml:space="preserve"> </w:t>
      </w:r>
      <w:r w:rsidRPr="003B4903">
        <w:rPr>
          <w:rFonts w:asciiTheme="minorHAnsi" w:hAnsiTheme="minorHAnsi" w:cstheme="minorHAnsi"/>
          <w:sz w:val="20"/>
        </w:rPr>
        <w:t>(roboty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3CE54E7F"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3B4903">
        <w:rPr>
          <w:rFonts w:ascii="Verdana" w:hAnsi="Verdana" w:cstheme="minorHAnsi"/>
          <w:b/>
          <w:bCs/>
          <w:i/>
          <w:iCs/>
          <w:color w:val="FF0000"/>
          <w:sz w:val="18"/>
          <w:szCs w:val="18"/>
        </w:rPr>
        <w:t>Łowicz</w:t>
      </w:r>
      <w:r w:rsidR="0089020B" w:rsidRPr="0089020B">
        <w:rPr>
          <w:rFonts w:ascii="Verdana" w:hAnsi="Verdana" w:cstheme="minorHAnsi"/>
          <w:b/>
          <w:bCs/>
          <w:i/>
          <w:iCs/>
          <w:color w:val="FF0000"/>
          <w:sz w:val="18"/>
          <w:szCs w:val="18"/>
        </w:rPr>
        <w:t>, [</w:t>
      </w:r>
      <w:r w:rsidR="003B4903">
        <w:rPr>
          <w:rFonts w:ascii="Verdana" w:hAnsi="Verdana" w:cstheme="minorHAnsi"/>
          <w:b/>
          <w:bCs/>
          <w:i/>
          <w:iCs/>
          <w:color w:val="FF0000"/>
          <w:sz w:val="18"/>
          <w:szCs w:val="18"/>
        </w:rPr>
        <w:t>Seroki Parcel, gm. Teresin</w:t>
      </w:r>
      <w:r w:rsidR="0089020B" w:rsidRPr="0089020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lastRenderedPageBreak/>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A5C20" w14:textId="77777777" w:rsidR="00314D5C" w:rsidRDefault="00314D5C" w:rsidP="004A302B">
      <w:pPr>
        <w:spacing w:line="240" w:lineRule="auto"/>
      </w:pPr>
      <w:r>
        <w:separator/>
      </w:r>
    </w:p>
  </w:endnote>
  <w:endnote w:type="continuationSeparator" w:id="0">
    <w:p w14:paraId="0202CA98" w14:textId="77777777" w:rsidR="00314D5C" w:rsidRDefault="00314D5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5BBEE" w14:textId="77777777" w:rsidR="00314D5C" w:rsidRDefault="00314D5C" w:rsidP="004A302B">
      <w:pPr>
        <w:spacing w:line="240" w:lineRule="auto"/>
      </w:pPr>
      <w:r>
        <w:separator/>
      </w:r>
    </w:p>
  </w:footnote>
  <w:footnote w:type="continuationSeparator" w:id="0">
    <w:p w14:paraId="0201C04E" w14:textId="77777777" w:rsidR="00314D5C" w:rsidRDefault="00314D5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271EA1"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5F463CAE" w:rsidR="00802AC7" w:rsidRPr="00271EA1" w:rsidRDefault="00271EA1" w:rsidP="00802AC7">
          <w:pPr>
            <w:suppressAutoHyphens/>
            <w:ind w:right="187"/>
            <w:rPr>
              <w:rFonts w:asciiTheme="majorHAnsi" w:hAnsiTheme="majorHAnsi"/>
              <w:color w:val="000000" w:themeColor="text1"/>
              <w:sz w:val="14"/>
              <w:szCs w:val="18"/>
              <w:lang w:val="en-GB"/>
            </w:rPr>
          </w:pPr>
          <w:r w:rsidRPr="00271EA1">
            <w:rPr>
              <w:rFonts w:asciiTheme="majorHAnsi" w:hAnsiTheme="majorHAnsi"/>
              <w:color w:val="000000" w:themeColor="text1"/>
              <w:sz w:val="14"/>
              <w:szCs w:val="18"/>
              <w:lang w:val="en-GB"/>
            </w:rPr>
            <w:t>POST/DYS/OLD/GZ/04381/2025</w:t>
          </w:r>
          <w:r w:rsidRPr="00271EA1">
            <w:rPr>
              <w:rFonts w:asciiTheme="majorHAnsi" w:hAnsiTheme="majorHAnsi"/>
              <w:color w:val="000000" w:themeColor="text1"/>
              <w:sz w:val="14"/>
              <w:szCs w:val="18"/>
              <w:lang w:val="en-GB"/>
            </w:rPr>
            <w:t xml:space="preserve">  </w:t>
          </w:r>
          <w:proofErr w:type="spellStart"/>
          <w:r w:rsidRPr="00271EA1">
            <w:rPr>
              <w:rFonts w:asciiTheme="majorHAnsi" w:hAnsiTheme="majorHAnsi"/>
              <w:color w:val="000000" w:themeColor="text1"/>
              <w:sz w:val="14"/>
              <w:szCs w:val="18"/>
              <w:lang w:val="en-GB"/>
            </w:rPr>
            <w:t>c</w:t>
          </w:r>
          <w:r>
            <w:rPr>
              <w:rFonts w:asciiTheme="majorHAnsi" w:hAnsiTheme="majorHAnsi"/>
              <w:color w:val="000000" w:themeColor="text1"/>
              <w:sz w:val="14"/>
              <w:szCs w:val="18"/>
              <w:lang w:val="en-GB"/>
            </w:rPr>
            <w:t>z</w:t>
          </w:r>
          <w:proofErr w:type="spellEnd"/>
          <w:r>
            <w:rPr>
              <w:rFonts w:asciiTheme="majorHAnsi" w:hAnsiTheme="majorHAnsi"/>
              <w:color w:val="000000" w:themeColor="text1"/>
              <w:sz w:val="14"/>
              <w:szCs w:val="18"/>
              <w:lang w:val="en-GB"/>
            </w:rPr>
            <w:t xml:space="preserve"> 5</w:t>
          </w:r>
        </w:p>
      </w:tc>
      <w:tc>
        <w:tcPr>
          <w:tcW w:w="977" w:type="dxa"/>
          <w:vAlign w:val="center"/>
        </w:tcPr>
        <w:p w14:paraId="1B7FC7C2" w14:textId="77777777" w:rsidR="00802AC7" w:rsidRPr="00271EA1"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271EA1"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271EA1"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271EA1"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EA1"/>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D5C"/>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112F"/>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4903"/>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20E3"/>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476D1"/>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5D6A"/>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7C8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75C"/>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303A"/>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384"/>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692"/>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930"/>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5.docx</dmsv2BaseFileName>
    <dmsv2BaseDisplayName xmlns="http://schemas.microsoft.com/sharepoint/v3">Załącznik nr 1 do SWZ 2026 przebudowa linii - część 5</dmsv2BaseDisplayName>
    <dmsv2SWPP2ObjectNumber xmlns="http://schemas.microsoft.com/sharepoint/v3">POST/DYS/OLD/GZ/04381/2025                        </dmsv2SWPP2ObjectNumber>
    <dmsv2SWPP2SumMD5 xmlns="http://schemas.microsoft.com/sharepoint/v3">5229dd70d63ad3e1f65d7f7b8bce0165</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23919918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JEUP5JKVCYQC-1440096624-17456</_dlc_DocId>
    <_dlc_DocIdUrl xmlns="a19cb1c7-c5c7-46d4-85ae-d83685407bba">
      <Url>https://swpp2.dms.gkpge.pl/sites/41/_layouts/15/DocIdRedir.aspx?ID=JEUP5JKVCYQC-1440096624-17456</Url>
      <Description>JEUP5JKVCYQC-1440096624-17456</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10325CB-CA2C-4BDD-A408-32683F9AD460}"/>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48DBD3D-7AF3-4375-B45F-45734B19DB9C}">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1685</Words>
  <Characters>10116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5</cp:revision>
  <cp:lastPrinted>2021-02-26T13:14:00Z</cp:lastPrinted>
  <dcterms:created xsi:type="dcterms:W3CDTF">2025-11-17T09:49:00Z</dcterms:created>
  <dcterms:modified xsi:type="dcterms:W3CDTF">2025-12-04T08:48:00Z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693b5e93-4209-4215-8f53-37f3e6a1a8e4</vt:lpwstr>
  </property>
</Properties>
</file>